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衢州市产业发展需求清单</w:t>
      </w:r>
    </w:p>
    <w:tbl>
      <w:tblPr>
        <w:tblStyle w:val="8"/>
        <w:tblW w:w="14880"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915"/>
        <w:gridCol w:w="1126"/>
        <w:gridCol w:w="1177"/>
        <w:gridCol w:w="9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50"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序号</w:t>
            </w:r>
          </w:p>
        </w:tc>
        <w:tc>
          <w:tcPr>
            <w:tcW w:w="1915"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产业发展需求</w:t>
            </w:r>
          </w:p>
        </w:tc>
        <w:tc>
          <w:tcPr>
            <w:tcW w:w="1126"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所属领域</w:t>
            </w:r>
          </w:p>
        </w:tc>
        <w:tc>
          <w:tcPr>
            <w:tcW w:w="1177"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对接对象</w:t>
            </w:r>
          </w:p>
        </w:tc>
        <w:tc>
          <w:tcPr>
            <w:tcW w:w="99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915"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第四代低碳含氟化学品全流程生产工艺研究及应用示范</w:t>
            </w:r>
          </w:p>
        </w:tc>
        <w:tc>
          <w:tcPr>
            <w:tcW w:w="1126"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新材料</w:t>
            </w:r>
          </w:p>
        </w:tc>
        <w:tc>
          <w:tcPr>
            <w:tcW w:w="1177"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浙江衢化氟化学有限公司</w:t>
            </w:r>
          </w:p>
        </w:tc>
        <w:tc>
          <w:tcPr>
            <w:tcW w:w="9912" w:type="dxa"/>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仿宋_GB2312" w:hAnsi="仿宋_GB2312" w:eastAsia="仿宋_GB2312" w:cs="仿宋_GB2312"/>
                <w:snapToGrid w:val="0"/>
                <w:color w:val="000000"/>
                <w:spacing w:val="-11"/>
                <w:kern w:val="0"/>
                <w:sz w:val="24"/>
                <w:szCs w:val="24"/>
                <w:lang w:val="en-US" w:eastAsia="zh-CN" w:bidi="ar-SA"/>
              </w:rPr>
            </w:pPr>
            <w:r>
              <w:rPr>
                <w:rFonts w:hint="eastAsia" w:ascii="仿宋_GB2312" w:hAnsi="仿宋_GB2312" w:eastAsia="仿宋_GB2312" w:cs="仿宋_GB2312"/>
                <w:snapToGrid w:val="0"/>
                <w:color w:val="000000"/>
                <w:spacing w:val="-11"/>
                <w:kern w:val="0"/>
                <w:sz w:val="24"/>
                <w:szCs w:val="24"/>
                <w:lang w:val="en-US" w:eastAsia="zh-CN" w:bidi="ar-SA"/>
              </w:rPr>
              <w:t>1.拟解决关键问题：本项目主要针对第四代低碳含氟化学品中的 Z-1,1,1,4,4,4-六氟-2-丁烯（Z-R1336）产品，研究其全流程生产工艺，主要存在以下问题：皂化反应工艺控制不稳定，反应器需要经常性更换釜内原料，导致反应器开停车操作频繁，影响整个装置安全稳定性；皂化反应的产品收率低，影响整条产线 Z-R1136 产品收率，大大提高的产品的生产成本；皂化工序中精馏回收工艺技术不够完善，大量的有机物无法回收利用，增加环境负担。</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4）研究第四代低碳含氟化学品精馏工艺技术，从源头降低生产过程中三废的排放。</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2.主要研究内容：本项目主要针对第四代低碳含氟化学品中的 Z-1,1,1,4,4,4-六氟-2-丁烯（Z-R1336）产品，研究其全流程生产工艺。相比于第三代产品，第四代低碳含氟化学品 Z-R1136 具有更为复杂的生产工艺，包含氟化反应、异构化反应、加氢反应、皂化反应等多个连续的核心反应工序，只要其中一个反应环节出现问题，就会对整条产品线造成影响。另外，各反应工序生产的中间品还包含高毒物质，同时伴随产生大量的有机废弃物。因此，对于整个 Z-R1136 生产工艺流程，应具备更高的稳定性、安全性、可操作性的要求。根据目前国内外的生产情况，其中核心工序之一的皂化反应技术还不成熟，主要存在以下问题：皂化反应工艺控制不稳定，反应器需要经常性更换釜内原料，导致反应器开停车操作频繁，影响整个装置安全稳定性；皂化反应的产品收率低，影响整条产线 Z-R1136 产品收率，大大提高的产品的生</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产成本；皂化工序中精馏回收工艺技术不够完善，大量的有机物无法回收利用，增加环境负担。</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因此，本项目针对以上问题，主要的研究内容如下：</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1）研究第四代低碳含氟化学品皂化反应工艺的反应机理。</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2）探究不同皂化反应工艺控制条件对产品收率的影响。</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3）针对研究的反应机理结合新技术的应用，制定、实施反应工艺强化方案，通过新技术提高产品收率。</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3.公关目标：基于行业现状，解决第四代新型制冷剂生产工艺关键技术问题，核心技术指标达到:</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1）皂化反应工艺收率提高 5-10%；</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2）装置安全稳定性提高，减少装置反应停车频次，下降 20-50%；</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3）降低第四代新型制冷剂生产成本，预计创效 1500 万元/年。</w:t>
            </w:r>
            <w:r>
              <w:rPr>
                <w:rFonts w:hint="eastAsia" w:ascii="仿宋_GB2312" w:hAnsi="仿宋_GB2312" w:eastAsia="仿宋_GB2312" w:cs="仿宋_GB2312"/>
                <w:snapToGrid w:val="0"/>
                <w:color w:val="000000"/>
                <w:spacing w:val="-11"/>
                <w:kern w:val="0"/>
                <w:sz w:val="24"/>
                <w:szCs w:val="24"/>
                <w:lang w:val="en-US" w:eastAsia="zh-CN" w:bidi="ar-SA"/>
              </w:rPr>
              <w:br w:type="textWrapping"/>
            </w:r>
            <w:r>
              <w:rPr>
                <w:rFonts w:hint="eastAsia" w:ascii="仿宋_GB2312" w:hAnsi="仿宋_GB2312" w:eastAsia="仿宋_GB2312" w:cs="仿宋_GB2312"/>
                <w:snapToGrid w:val="0"/>
                <w:color w:val="000000"/>
                <w:spacing w:val="-11"/>
                <w:kern w:val="0"/>
                <w:sz w:val="24"/>
                <w:szCs w:val="24"/>
                <w:lang w:val="en-US" w:eastAsia="zh-CN" w:bidi="ar-SA"/>
              </w:rPr>
              <w:t>4）建成万吨级新型低碳氟化学品示范装置。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50"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序号</w:t>
            </w:r>
          </w:p>
        </w:tc>
        <w:tc>
          <w:tcPr>
            <w:tcW w:w="1915"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产业发展需求</w:t>
            </w:r>
          </w:p>
        </w:tc>
        <w:tc>
          <w:tcPr>
            <w:tcW w:w="1126"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所属领域</w:t>
            </w:r>
          </w:p>
        </w:tc>
        <w:tc>
          <w:tcPr>
            <w:tcW w:w="1177"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对接对象</w:t>
            </w:r>
          </w:p>
        </w:tc>
        <w:tc>
          <w:tcPr>
            <w:tcW w:w="99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1915"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rPr>
              <w:t>芯片先进制程用硅系蚀刻液及蚀刻后清洗液</w:t>
            </w:r>
          </w:p>
        </w:tc>
        <w:tc>
          <w:tcPr>
            <w:tcW w:w="1126"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新材料</w:t>
            </w:r>
          </w:p>
        </w:tc>
        <w:tc>
          <w:tcPr>
            <w:tcW w:w="1177"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b w:val="0"/>
                <w:bCs w:val="0"/>
                <w:i w:val="0"/>
                <w:iCs w:val="0"/>
                <w:color w:val="000000"/>
                <w:spacing w:val="0"/>
                <w:w w:val="100"/>
                <w:sz w:val="24"/>
                <w:szCs w:val="24"/>
                <w:vertAlign w:val="baseline"/>
                <w:lang w:val="en-US" w:eastAsia="zh-CN"/>
              </w:rPr>
              <w:t>浙江奥首材料科技有限公司</w:t>
            </w:r>
          </w:p>
        </w:tc>
        <w:tc>
          <w:tcPr>
            <w:tcW w:w="9912" w:type="dxa"/>
          </w:tcPr>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1.关键原料的制备和纯化。蚀刻液与蚀刻后清洗液的关键原料高度依赖进口，项目将同步开展原料深度提纯研究，开发具有一定普适性的合成和纯化方法，实现原料的自主可控。</w:t>
            </w:r>
          </w:p>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配方筛选。通过系统改变配方组分、混配方式、配比等，创制调配系列产品，在晶圆上开展相关工艺验证。通过光学显微镜（OM）、扫描电子显微镜（SEM）、原子力显微镜（AFM）等表征加工后晶圆的形貌；通过能量散射X射线光谱（EDS）和X射线光电子能谱（XPS）等表征加工后表面化学成分和分布，氧化状态；最后通过聚焦离子束（FIB）和透射电子显微镜（TEM）表征加工后的高分辨断层形貌、结构信息等，从而建立系统完整的产品配方与其蚀刻、清洗效果的对应关系。筛选获得不少于10种满足先进制程用硅系蚀刻液及蚀刻后清洗液配方。</w:t>
            </w:r>
          </w:p>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作用机理探究。通过还原论方式系统研究蚀刻液与蚀刻后清洗液的作用机制。首先分别研究配方中各添加剂与待蚀刻、清洗的材料在蚀刻（或清洗）真实加工条件（浓度、温度、pH等）下的配位方式和配位能力。随后逐步调整添加剂组分、数量、配比等，对选择模型材料，研究其通过协同作用重塑吸附、配位、溶解等能力的机制。最后，将上述结果与相应配方在真实晶圆结构蚀刻、清洗的效果结合，揭示其与刻蚀、清洗工艺的各项关键指标（如速率、选择比、均匀性、稳定性等）的关系，总结形成面向各类待加工硅系晶圆结构的蚀刻液和蚀刻后清洗液的成分和配比的一般性规律。</w:t>
            </w:r>
          </w:p>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4.产品质量标准建立。通过离子色谱、ICP-MS、颗粒计数器和不同的组分测试等分析检测方法对产品中杂质以及微量添加剂等进行精准定量，建设一套面向蚀刻液与蚀刻后清洗液的质量标准体系。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3</w:t>
            </w:r>
          </w:p>
        </w:tc>
        <w:tc>
          <w:tcPr>
            <w:tcW w:w="1915" w:type="dxa"/>
            <w:vAlign w:val="center"/>
          </w:tcPr>
          <w:p>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rPr>
              <w:t>高性能膜材料开发及批量化制备技术</w:t>
            </w:r>
          </w:p>
        </w:tc>
        <w:tc>
          <w:tcPr>
            <w:tcW w:w="1126" w:type="dxa"/>
            <w:vAlign w:val="center"/>
          </w:tcPr>
          <w:p>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新材料</w:t>
            </w:r>
          </w:p>
        </w:tc>
        <w:tc>
          <w:tcPr>
            <w:tcW w:w="1177" w:type="dxa"/>
            <w:vAlign w:val="center"/>
          </w:tcPr>
          <w:p>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rPr>
              <w:t>浙江开化合成材料有限公司</w:t>
            </w:r>
          </w:p>
        </w:tc>
        <w:tc>
          <w:tcPr>
            <w:tcW w:w="9912" w:type="dxa"/>
            <w:vAlign w:val="top"/>
          </w:tcPr>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1.高性能膜材料开发及批量化制备技术；</w:t>
            </w:r>
          </w:p>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2.高效一体化洗涤与浓缩分离装备研制及工业验证系统示范。</w:t>
            </w:r>
          </w:p>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技术指标：</w:t>
            </w:r>
          </w:p>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①短流程纳米二氧化硅洗涤分离智能化成套装备</w:t>
            </w:r>
          </w:p>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本项目将攻克纳米二氧化硅洗涤分离用高性能膜材料与装备核心技术，填补该领域全球技术空白，推动我国高端化工材料产业竞争力跃升。自主研发的成套装备膜纯水通量大于500L.m-2.h-1，较传统工艺减少纯水用量≥50%；集成智能化抗污系统，通过实时监测动态优化反冲洗频率，实现设备稳定运行≥2160小时，满足芯片封装、生物制药等领域对高纯纳米二氧化硅的规模化稳定生产需求。同步构建纳米材料规模化生产示范线，完成从实验室小试、中试到万吨级产线的全链条验证，形成标准化工艺包与装备运维体系，为"415X"先进制造业集群提供具备自主知识产权的产业化解决方案。</w:t>
            </w:r>
          </w:p>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②纳米二氧化硅/纳米倍半硅氧烷微球产品产品示范线</w:t>
            </w:r>
          </w:p>
          <w:p>
            <w:pPr>
              <w:keepNext w:val="0"/>
              <w:keepLines w:val="0"/>
              <w:pageBreakBefore w:val="0"/>
              <w:widowControl/>
              <w:suppressLineNumbers w:val="0"/>
              <w:kinsoku/>
              <w:wordWrap/>
              <w:overflowPunct/>
              <w:topLinePunct w:val="0"/>
              <w:autoSpaceDE/>
              <w:autoSpaceDN/>
              <w:bidi w:val="0"/>
              <w:adjustRightInd/>
              <w:snapToGrid/>
              <w:spacing w:line="212"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本项目所制备的纳米二氧化硅微球核心性能指标全面达到领先标准：离子残留量（金属离子含量＜2ppm）；微球收率≥99.5%；产品固含量≥20%，可广泛应用于芯片封装、生物医药载体及高端涂料等对材料纯度与分散稳定性要求严苛的领域。</w:t>
            </w:r>
          </w:p>
        </w:tc>
      </w:tr>
    </w:tbl>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br w:type="page"/>
      </w:r>
    </w:p>
    <w:tbl>
      <w:tblPr>
        <w:tblStyle w:val="8"/>
        <w:tblW w:w="14880"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915"/>
        <w:gridCol w:w="1126"/>
        <w:gridCol w:w="1177"/>
        <w:gridCol w:w="9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50"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序号</w:t>
            </w:r>
          </w:p>
        </w:tc>
        <w:tc>
          <w:tcPr>
            <w:tcW w:w="1915"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产业发展需求</w:t>
            </w:r>
          </w:p>
        </w:tc>
        <w:tc>
          <w:tcPr>
            <w:tcW w:w="1126"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所属领域</w:t>
            </w:r>
          </w:p>
        </w:tc>
        <w:tc>
          <w:tcPr>
            <w:tcW w:w="1177"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对接对象</w:t>
            </w:r>
          </w:p>
        </w:tc>
        <w:tc>
          <w:tcPr>
            <w:tcW w:w="99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6" w:hRule="atLeast"/>
        </w:trPr>
        <w:tc>
          <w:tcPr>
            <w:tcW w:w="750" w:type="dxa"/>
            <w:vAlign w:val="center"/>
          </w:tcPr>
          <w:p>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4</w:t>
            </w:r>
          </w:p>
        </w:tc>
        <w:tc>
          <w:tcPr>
            <w:tcW w:w="1915" w:type="dxa"/>
            <w:vAlign w:val="center"/>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圣效科技产业园</w:t>
            </w:r>
          </w:p>
        </w:tc>
        <w:tc>
          <w:tcPr>
            <w:tcW w:w="1126" w:type="dxa"/>
            <w:vAlign w:val="center"/>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新材料</w:t>
            </w:r>
          </w:p>
        </w:tc>
        <w:tc>
          <w:tcPr>
            <w:tcW w:w="1177" w:type="dxa"/>
            <w:vAlign w:val="center"/>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浙江圣效化学品有限公司</w:t>
            </w:r>
          </w:p>
        </w:tc>
        <w:tc>
          <w:tcPr>
            <w:tcW w:w="9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在以AI为代表的智能终端产业大发展的背景下，我们必须加快发展速度，提高供应链自主可控能力，因此，公司计划在廿里工业功能区内创建圣效科技产业园，重点围绕5G、半导体、人工智能等重点领城的上游材料深入展开，加快解决核心领城卡脖子材料的国产替代问题，为国内5G、半导体、新能源汽车、军工及航天等行业发展提供保障。</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为推动企业创新发展，圣效公司拟以IPO上市为契机，在廿里工业功能区投资10亿元建设圣效科技产业园，打造集新材料、食品药品、智能制造于一体的现代化产业基地。该园区符合浙江省“415X”先进制造业集群领域，对提升本地产业层次、增强科技创新能力、促进就业和税收增长具有重要推动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color w:val="000000"/>
                <w:kern w:val="0"/>
                <w:sz w:val="24"/>
                <w:szCs w:val="24"/>
                <w:u w:val="none"/>
                <w:lang w:val="en-US" w:eastAsia="zh-CN" w:bidi="ar"/>
              </w:rPr>
              <w:t>5</w:t>
            </w: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color w:val="000000"/>
                <w:kern w:val="0"/>
                <w:sz w:val="24"/>
                <w:szCs w:val="24"/>
                <w:u w:val="none"/>
                <w:lang w:val="en-US" w:eastAsia="zh-CN" w:bidi="ar"/>
              </w:rPr>
              <w:t>新能源汽车电机与电池回收关键技术研究</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——新能源汽车退役电池绿色短程回收关键技术及装备</w:t>
            </w:r>
          </w:p>
        </w:tc>
        <w:tc>
          <w:tcPr>
            <w:tcW w:w="1126"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color w:val="000000"/>
                <w:kern w:val="0"/>
                <w:sz w:val="24"/>
                <w:szCs w:val="24"/>
                <w:u w:val="none"/>
                <w:lang w:val="en-US" w:eastAsia="zh-CN" w:bidi="ar"/>
              </w:rPr>
              <w:t>新能源</w:t>
            </w:r>
          </w:p>
        </w:tc>
        <w:tc>
          <w:tcPr>
            <w:tcW w:w="1177"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color w:val="000000"/>
                <w:kern w:val="0"/>
                <w:sz w:val="24"/>
                <w:szCs w:val="24"/>
                <w:u w:val="none"/>
                <w:lang w:val="en-US" w:eastAsia="zh-CN" w:bidi="ar"/>
              </w:rPr>
              <w:t>浙江华友钴业股份有限公司</w:t>
            </w:r>
          </w:p>
        </w:tc>
        <w:tc>
          <w:tcPr>
            <w:tcW w:w="9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color w:val="000000"/>
                <w:kern w:val="0"/>
                <w:sz w:val="24"/>
                <w:szCs w:val="24"/>
                <w:u w:val="none"/>
                <w:lang w:val="en-US" w:eastAsia="zh-CN" w:bidi="ar"/>
              </w:rPr>
              <w:t>1.退役动力电池绿色无害化、智能化、精细化自动分选关键技术及装备</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①视觉识别算法与柔性化电池包拆解技术与装备研究：基于柔性拆解方案及全套数据库，集成人工智能的视觉识别算法，实现不同种类电池包到电芯的柔性化、自动化拆解。</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②电芯精细化、自动化拆解及高效脱粉技术与装备研究：采用自动化及机器人视觉等人工智能技术，开发电芯无害化、精细化、自动化拆解技术及装备，实现精细化拆解；开发高效脱粉技术及设备，提高黑粉收率至98.5%以上。</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③超临界CO2提取回收动力电池电解液关键技术研究：采用超临界CO2提取技术，研究电解液的超临界CO2萃取行为，确定整套电解液和电解质盐提取过程成套技术参数，为后续规模化应用提供依据。</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 xml:space="preserve">2.磷酸铁锂材料多元杂质体系深度脱除与常温液相短程修复利用关键技术及装备 </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①明晰退役磷酸铁锂材料的容量衰减机理和材料衰减过程演变规律，重点研究容量衰减过程正极材料晶体结构和微量杂质的变化，以指导后续材料短程修复技术研发。</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 xml:space="preserve">②研究正极材料常温液相补锂修复关键技术，考察补锂剂种类、锂含量、温度、时间、添加剂等因素对正极材料修复率和电化学性能恢复率的影响。建立一整套正极材料多元杂质体系深度去除与常温液相补锂短程修复关键技术与装备，实现正极材料的低成本、短程、高值化再生利用。 </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3.三元材料有价金属高值化再生利用关键技术</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①开发退役三元正极材料低酸耗协同浸取技术，通过研究不同浸出剂、还原剂等因素，优化获得最佳金属的浸出率。结合浸出过程反应动力学拟合计算，建立浸出率预测模型，分析不同还原剂和酸对浸出过程的强化作用和分解机理。</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②采用强化梯次复合回收等工艺，研究萃取温度、相比等条件对有价金属萃取分离效果的影响；研究离子交换吸附法不同工艺条件对锂吸附率的影响，进行锂吸附分离动力学分析。实现有价金属低酸碱消耗、低废水排放和高效回收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50"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序号</w:t>
            </w:r>
          </w:p>
        </w:tc>
        <w:tc>
          <w:tcPr>
            <w:tcW w:w="1915"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产业发展需求</w:t>
            </w:r>
          </w:p>
        </w:tc>
        <w:tc>
          <w:tcPr>
            <w:tcW w:w="1126"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所属领域</w:t>
            </w:r>
          </w:p>
        </w:tc>
        <w:tc>
          <w:tcPr>
            <w:tcW w:w="1177"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对接对象</w:t>
            </w:r>
          </w:p>
        </w:tc>
        <w:tc>
          <w:tcPr>
            <w:tcW w:w="99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50"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191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sz w:val="24"/>
                <w:szCs w:val="24"/>
              </w:rPr>
              <w:t>TBC太阳能电池关键技术研发及产业化</w:t>
            </w:r>
          </w:p>
        </w:tc>
        <w:tc>
          <w:tcPr>
            <w:tcW w:w="1126"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pacing w:val="-20"/>
                <w:kern w:val="0"/>
                <w:sz w:val="24"/>
                <w:szCs w:val="24"/>
                <w:u w:val="none"/>
                <w:lang w:val="en-US" w:eastAsia="zh-CN" w:bidi="ar"/>
              </w:rPr>
            </w:pPr>
            <w:r>
              <w:rPr>
                <w:rFonts w:hint="eastAsia" w:ascii="仿宋_GB2312" w:hAnsi="仿宋_GB2312" w:eastAsia="仿宋_GB2312" w:cs="仿宋_GB2312"/>
                <w:i w:val="0"/>
                <w:color w:val="000000"/>
                <w:spacing w:val="-20"/>
                <w:kern w:val="0"/>
                <w:sz w:val="24"/>
                <w:szCs w:val="24"/>
                <w:u w:val="none"/>
                <w:lang w:val="en-US" w:eastAsia="zh-CN" w:bidi="ar"/>
              </w:rPr>
              <w:t>新能源</w:t>
            </w:r>
          </w:p>
        </w:tc>
        <w:tc>
          <w:tcPr>
            <w:tcW w:w="117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一道新能源科技（衢州）有限公司</w:t>
            </w:r>
          </w:p>
        </w:tc>
        <w:tc>
          <w:tcPr>
            <w:tcW w:w="9912" w:type="dxa"/>
            <w:vAlign w:val="top"/>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TBC电池中晶硅-介质膜-金属多界面体系中电子空穴的传输机理及其对复合速率的影响。调节多种材料间接触时的能带排列，修饰电子与空穴的注入势垒，降低界面势垒对电子与空穴的跃迁阻碍；建立单一载流子的选择性传输路径，构建界面处的多维度、多机制、跨界面传输的联合理论模型。开发全钝化接触技术是突破高效TBC电池效率瓶颈的前提。</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掺杂多晶硅介质膜对TBC电池硅基底的电学性能改善和寿命提升。通过钝化掺杂多晶硅介质膜中杂质与缺陷，优化载流子浓度和类型，对电子/空穴实现选择性分离和电荷的再优化，减少基底材料的点缺陷（如空位、间隙原子）线缺陷（如位错）和面缺陷（如晶界、相界），减少电子/空穴碰撞概率，降低晶硅体内和界面复合速率。设计并实现高效TBC电池低复合速率是突破入射光子利用率的前提。</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黑体" w:hAnsi="黑体" w:eastAsia="黑体" w:cs="黑体"/>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开发出满足TBC电池制造需求的高导电低含银量的电子浆料。采用改性后的微纳米铜粉，深入研究溶剂、分散剂、粘结剂等组分的相互作用机制，通过调整各组分的比例和种类，优化铜浆的流动性、附着力和印刷性能；利用先进的流变学理论和实验手段，对铜浆的粘度、稳定性等关键性能进行精确调控；引入新型功能添加剂如表面活性剂、流变调节剂等，以进一步提升铜浆的分散稳定性和印刷精度。</w:t>
            </w:r>
            <w:r>
              <w:rPr>
                <w:rFonts w:hint="eastAsia" w:ascii="仿宋_GB2312" w:hAnsi="仿宋_GB2312" w:eastAsia="仿宋_GB2312" w:cs="仿宋_GB2312"/>
                <w:i w:val="0"/>
                <w:color w:val="000000"/>
                <w:spacing w:val="-20"/>
                <w:kern w:val="0"/>
                <w:sz w:val="24"/>
                <w:szCs w:val="24"/>
                <w:u w:val="none"/>
                <w:lang w:val="en-US" w:eastAsia="zh-CN" w:bidi="ar"/>
              </w:rPr>
              <w:t>设计TBC电池低成本路线是实现大规模产业化的前提。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1915"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新能源电池新型负极材料产业链协同创新及人才引进项目</w:t>
            </w:r>
          </w:p>
        </w:tc>
        <w:tc>
          <w:tcPr>
            <w:tcW w:w="1126"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新能源</w:t>
            </w:r>
          </w:p>
        </w:tc>
        <w:tc>
          <w:tcPr>
            <w:tcW w:w="1177"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碳一新能源集团有限责任公司</w:t>
            </w:r>
          </w:p>
        </w:tc>
        <w:tc>
          <w:tcPr>
            <w:tcW w:w="9912" w:type="dxa"/>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1.优化人造石墨微观结构，提升材料快充性能，满足行业6C快充性能标准；</w:t>
            </w:r>
          </w:p>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2.优化新型硅基负极材料，提升材料能量密度、循环寿命及倍率性能均提升10%以上。</w:t>
            </w:r>
          </w:p>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3.开发固态电池适用的电化学体系，实现长循环寿命，满足人形机器人、无人机等高功率密度电池需求。</w:t>
            </w:r>
          </w:p>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4.引进新能源、固态电池、碳材料研究等高层次海外人才，为公司注入新兴力量；同时需求上下游原材料及动力电池及储能领域的合作伙伴。</w:t>
            </w:r>
          </w:p>
        </w:tc>
      </w:tr>
    </w:tbl>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br w:type="page"/>
      </w:r>
    </w:p>
    <w:tbl>
      <w:tblPr>
        <w:tblStyle w:val="8"/>
        <w:tblW w:w="14880"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915"/>
        <w:gridCol w:w="1091"/>
        <w:gridCol w:w="1212"/>
        <w:gridCol w:w="9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50" w:type="dxa"/>
            <w:vAlign w:val="center"/>
          </w:tcPr>
          <w:p>
            <w:pPr>
              <w:rPr>
                <w:rFonts w:hint="eastAsia" w:ascii="黑体" w:hAnsi="黑体" w:eastAsia="黑体" w:cs="黑体"/>
                <w:sz w:val="24"/>
                <w:szCs w:val="24"/>
                <w:vertAlign w:val="baseline"/>
              </w:rPr>
            </w:pPr>
            <w:r>
              <w:rPr>
                <w:rFonts w:hint="eastAsia" w:ascii="仿宋_GB2312" w:hAnsi="仿宋_GB2312" w:eastAsia="仿宋_GB2312" w:cs="仿宋_GB2312"/>
                <w:sz w:val="24"/>
                <w:szCs w:val="24"/>
                <w:vertAlign w:val="baseline"/>
              </w:rPr>
              <w:br w:type="page"/>
            </w:r>
            <w:r>
              <w:rPr>
                <w:rFonts w:hint="eastAsia" w:ascii="黑体" w:hAnsi="黑体" w:eastAsia="黑体" w:cs="黑体"/>
                <w:i w:val="0"/>
                <w:color w:val="000000"/>
                <w:spacing w:val="-20"/>
                <w:kern w:val="0"/>
                <w:sz w:val="24"/>
                <w:szCs w:val="24"/>
                <w:u w:val="none"/>
                <w:lang w:val="en-US" w:eastAsia="zh-CN" w:bidi="ar"/>
              </w:rPr>
              <w:t>序号</w:t>
            </w:r>
          </w:p>
        </w:tc>
        <w:tc>
          <w:tcPr>
            <w:tcW w:w="1915"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产业发展需求</w:t>
            </w:r>
          </w:p>
        </w:tc>
        <w:tc>
          <w:tcPr>
            <w:tcW w:w="1091"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所属领域</w:t>
            </w:r>
          </w:p>
        </w:tc>
        <w:tc>
          <w:tcPr>
            <w:tcW w:w="12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对接对象</w:t>
            </w:r>
          </w:p>
        </w:tc>
        <w:tc>
          <w:tcPr>
            <w:tcW w:w="99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pStyle w:val="4"/>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
                <w:sz w:val="24"/>
                <w:szCs w:val="24"/>
                <w:lang w:val="en-US" w:eastAsia="zh-CN"/>
              </w:rPr>
            </w:pPr>
            <w:r>
              <w:rPr>
                <w:rFonts w:hint="eastAsia"/>
                <w:sz w:val="24"/>
                <w:szCs w:val="24"/>
                <w:lang w:val="en-US" w:eastAsia="zh-CN"/>
              </w:rPr>
              <w:t>8</w:t>
            </w:r>
          </w:p>
        </w:tc>
        <w:tc>
          <w:tcPr>
            <w:tcW w:w="1915"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rPr>
              <w:t>人形机器人执行器行星滚柱丝杆关键技术及制造工艺研发</w:t>
            </w:r>
          </w:p>
        </w:tc>
        <w:tc>
          <w:tcPr>
            <w:tcW w:w="1091"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高端</w:t>
            </w:r>
          </w:p>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装备</w:t>
            </w:r>
          </w:p>
        </w:tc>
        <w:tc>
          <w:tcPr>
            <w:tcW w:w="1212"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b w:val="0"/>
                <w:bCs w:val="0"/>
                <w:i w:val="0"/>
                <w:iCs w:val="0"/>
                <w:color w:val="000000"/>
                <w:spacing w:val="0"/>
                <w:w w:val="100"/>
                <w:sz w:val="24"/>
                <w:szCs w:val="24"/>
                <w:vertAlign w:val="baseline"/>
                <w:lang w:val="en-US" w:eastAsia="zh-CN"/>
              </w:rPr>
              <w:t>浙江禾川科技股份有限公司</w:t>
            </w:r>
          </w:p>
        </w:tc>
        <w:tc>
          <w:tcPr>
            <w:tcW w:w="9912" w:type="dxa"/>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针对机器人关节组件高负荷多工况的应用需求，开展高精密强负荷行星滚柱丝杠集成设计与制造工艺研究。基于运动学原理，建立滚柱丝杠传动运动学模型，分析丝杠、螺母、滚柱结构参数与螺母位移间的映射关系，推导零部件参数设计准则;基于传递矩阵法建立系统误差分析模型，分析结构参数及各项误差对传动精度的影响规律，研究机构传动精度提升方法;基于通用性和互换性方法进行模块化设计，基于热-结构场模型，优化丝杠散热结构、提升整体刚性和抗振性能，通过材料选择和热处理工艺提高丝杠的耐磨性和寿命。综合考虑人形机器人关节对行星滚柱丝杠轴向间隙、行程精度、承载能力综今服役要求，实现高精度高负荷行星滚柱丝杠协同设计。产品指标：轴向间隙:≤0.03mm丝杠直径:3-120mm行程精度:G3有效行程:&lt;500mm定位精度:士0.016(每300mm)传动效率:&g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9</w:t>
            </w:r>
          </w:p>
        </w:tc>
        <w:tc>
          <w:tcPr>
            <w:tcW w:w="1915" w:type="dxa"/>
            <w:vAlign w:val="center"/>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3C夹具设计与制造人才需求</w:t>
            </w:r>
          </w:p>
        </w:tc>
        <w:tc>
          <w:tcPr>
            <w:tcW w:w="1091" w:type="dxa"/>
            <w:vAlign w:val="center"/>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高端</w:t>
            </w:r>
          </w:p>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装备</w:t>
            </w:r>
          </w:p>
        </w:tc>
        <w:tc>
          <w:tcPr>
            <w:tcW w:w="1212" w:type="dxa"/>
            <w:vAlign w:val="center"/>
          </w:tcPr>
          <w:p>
            <w:pPr>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浙江金沃精工股份有限公司</w:t>
            </w:r>
          </w:p>
        </w:tc>
        <w:tc>
          <w:tcPr>
            <w:tcW w:w="9912" w:type="dxa"/>
            <w:vAlign w:val="center"/>
          </w:tcPr>
          <w:p>
            <w:pPr>
              <w:keepNext w:val="0"/>
              <w:keepLines w:val="0"/>
              <w:pageBreakBefore w:val="0"/>
              <w:kinsoku/>
              <w:wordWrap/>
              <w:overflowPunct/>
              <w:topLinePunct w:val="0"/>
              <w:autoSpaceDE/>
              <w:autoSpaceDN/>
              <w:bidi w:val="0"/>
              <w:adjustRightInd/>
              <w:snapToGrid/>
              <w:spacing w:line="280" w:lineRule="exact"/>
              <w:jc w:val="both"/>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C夹具设计与制造工程师4名，专业技能要求：熟悉质量管理体系，按客户和体系要求，组织进行工艺评审、确保夹具设计满足工艺要求及质量标准;精通加工中心探头程序、四轴调试及加工;并与机加工车间(车、铣、磨、钳、线切割等)或外协供应商沟通，解决制造过程中的技术问题，必要时需操作机床或指导技工进行关健部件的加工；组建、培养高绩效夹具设计及制造工程师团队以及公司有关的机械制造技术人才的孵化，并制定技术培训计划与能力评估体系;精通和掌握夹治具、模具的材料及加工设备的性能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191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年产850万个液晶总成生产线改造提升项目</w:t>
            </w:r>
          </w:p>
        </w:tc>
        <w:tc>
          <w:tcPr>
            <w:tcW w:w="1091"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高端</w:t>
            </w:r>
          </w:p>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装备</w:t>
            </w:r>
          </w:p>
        </w:tc>
        <w:tc>
          <w:tcPr>
            <w:tcW w:w="1212"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浙江梵西科技有限公司</w:t>
            </w:r>
          </w:p>
        </w:tc>
        <w:tc>
          <w:tcPr>
            <w:tcW w:w="9912" w:type="dxa"/>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公司拥有现代化厂房23460平方米（其中洁净无尘车间约2万平方米），模组事业部已投入TFT生产线共4条，全贴合事业部总共3条，需要上下游合作及市场拓展；专业技术人才；融资需求。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eastAsia="仿宋"/>
                <w:lang w:val="en-US" w:eastAsia="zh-CN"/>
              </w:rPr>
            </w:pPr>
            <w:r>
              <w:rPr>
                <w:rFonts w:hint="eastAsia" w:ascii="仿宋_GB2312" w:hAnsi="仿宋_GB2312" w:eastAsia="仿宋_GB2312" w:cs="仿宋_GB2312"/>
                <w:sz w:val="24"/>
                <w:szCs w:val="24"/>
                <w:vertAlign w:val="baseline"/>
                <w:lang w:val="en-US" w:eastAsia="zh-CN"/>
              </w:rPr>
              <w:t>10</w:t>
            </w:r>
          </w:p>
        </w:tc>
        <w:tc>
          <w:tcPr>
            <w:tcW w:w="1915"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年产5万吨果蔬制品加工建设</w:t>
            </w:r>
          </w:p>
        </w:tc>
        <w:tc>
          <w:tcPr>
            <w:tcW w:w="1091"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农业</w:t>
            </w:r>
          </w:p>
        </w:tc>
        <w:tc>
          <w:tcPr>
            <w:tcW w:w="1212"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浙江金易旺生物科技有限公司</w:t>
            </w:r>
          </w:p>
        </w:tc>
        <w:tc>
          <w:tcPr>
            <w:tcW w:w="9912" w:type="dxa"/>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本项目以衢州市柑橘为原料依托，以浙江省柑橘研究所及各大专院校为技术支撑，以全国成品饮料及其它相关生产厂家为市场辅助，以公司科技研发团队为主力，以生产柑橘果粒半成品、果粒橙原浆半成品、柑橘NFC（非浓缩还原）果汁、柑橘皮、柑橘精油系列产品等为一期产品，以柑橘水果茶、果酒、果醋、果胶、柑橘整果茶、橘渣有机肥等为二期产品，逐步实现柑橘的全成份“清洁化”加工利用，使之成为科技型、环保型企业，为全市树立榜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1915"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napToGrid w:val="0"/>
                <w:color w:val="000000"/>
                <w:kern w:val="0"/>
                <w:sz w:val="24"/>
                <w:szCs w:val="24"/>
                <w:lang w:val="en-US" w:eastAsia="zh-CN" w:bidi="ar-SA"/>
              </w:rPr>
              <w:t>龙游麻鸡品种选育及产品加工</w:t>
            </w:r>
          </w:p>
        </w:tc>
        <w:tc>
          <w:tcPr>
            <w:tcW w:w="1091"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napToGrid w:val="0"/>
                <w:color w:val="000000"/>
                <w:kern w:val="0"/>
                <w:sz w:val="24"/>
                <w:szCs w:val="24"/>
                <w:lang w:val="en-US" w:eastAsia="zh-CN" w:bidi="ar-SA"/>
              </w:rPr>
              <w:t>农业</w:t>
            </w:r>
          </w:p>
        </w:tc>
        <w:tc>
          <w:tcPr>
            <w:tcW w:w="1212"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napToGrid w:val="0"/>
                <w:color w:val="000000"/>
                <w:kern w:val="0"/>
                <w:sz w:val="24"/>
                <w:szCs w:val="24"/>
                <w:lang w:val="en-US" w:eastAsia="zh-CN" w:bidi="ar-SA"/>
              </w:rPr>
              <w:t>浙江龙昌农业开发有限公司</w:t>
            </w:r>
          </w:p>
        </w:tc>
        <w:tc>
          <w:tcPr>
            <w:tcW w:w="9912" w:type="dxa"/>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snapToGrid w:val="0"/>
                <w:color w:val="000000"/>
                <w:kern w:val="0"/>
                <w:sz w:val="24"/>
                <w:szCs w:val="24"/>
                <w:lang w:val="en-US" w:eastAsia="zh-CN" w:bidi="ar-SA"/>
              </w:rPr>
              <w:t>1.龙游麻鸡本品种选育及“两白”净化关键技术研发</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2.关键肉质风味物质解析</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3.产蛋量提升</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4.产品深加工</w:t>
            </w:r>
          </w:p>
        </w:tc>
      </w:tr>
    </w:tbl>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br w:type="page"/>
      </w:r>
    </w:p>
    <w:tbl>
      <w:tblPr>
        <w:tblStyle w:val="8"/>
        <w:tblW w:w="14880"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915"/>
        <w:gridCol w:w="1091"/>
        <w:gridCol w:w="1212"/>
        <w:gridCol w:w="9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50" w:type="dxa"/>
            <w:vAlign w:val="center"/>
          </w:tcPr>
          <w:p>
            <w:pPr>
              <w:rPr>
                <w:rFonts w:hint="eastAsia" w:ascii="黑体" w:hAnsi="黑体" w:eastAsia="黑体" w:cs="黑体"/>
                <w:sz w:val="24"/>
                <w:szCs w:val="24"/>
                <w:vertAlign w:val="baseline"/>
              </w:rPr>
            </w:pPr>
            <w:r>
              <w:rPr>
                <w:rFonts w:hint="eastAsia" w:ascii="仿宋_GB2312" w:hAnsi="仿宋_GB2312" w:eastAsia="仿宋_GB2312" w:cs="仿宋_GB2312"/>
                <w:sz w:val="24"/>
                <w:szCs w:val="24"/>
                <w:vertAlign w:val="baseline"/>
              </w:rPr>
              <w:br w:type="page"/>
            </w:r>
            <w:r>
              <w:rPr>
                <w:rFonts w:hint="eastAsia" w:ascii="黑体" w:hAnsi="黑体" w:eastAsia="黑体" w:cs="黑体"/>
                <w:i w:val="0"/>
                <w:color w:val="000000"/>
                <w:spacing w:val="-20"/>
                <w:kern w:val="0"/>
                <w:sz w:val="24"/>
                <w:szCs w:val="24"/>
                <w:u w:val="none"/>
                <w:lang w:val="en-US" w:eastAsia="zh-CN" w:bidi="ar"/>
              </w:rPr>
              <w:t>序号</w:t>
            </w:r>
          </w:p>
        </w:tc>
        <w:tc>
          <w:tcPr>
            <w:tcW w:w="1915"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产业发展需求</w:t>
            </w:r>
          </w:p>
        </w:tc>
        <w:tc>
          <w:tcPr>
            <w:tcW w:w="1091"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所属领域</w:t>
            </w:r>
          </w:p>
        </w:tc>
        <w:tc>
          <w:tcPr>
            <w:tcW w:w="12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对接对象</w:t>
            </w:r>
          </w:p>
        </w:tc>
        <w:tc>
          <w:tcPr>
            <w:tcW w:w="99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w:t>
            </w:r>
          </w:p>
        </w:tc>
        <w:tc>
          <w:tcPr>
            <w:tcW w:w="1915"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napToGrid w:val="0"/>
                <w:color w:val="000000"/>
                <w:kern w:val="0"/>
                <w:sz w:val="24"/>
                <w:szCs w:val="24"/>
                <w:lang w:val="en-US" w:eastAsia="zh-CN" w:bidi="ar-SA"/>
              </w:rPr>
              <w:t>江山乌骨鸡标准化管控及后续开发</w:t>
            </w:r>
          </w:p>
        </w:tc>
        <w:tc>
          <w:tcPr>
            <w:tcW w:w="1091"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napToGrid w:val="0"/>
                <w:color w:val="000000"/>
                <w:kern w:val="0"/>
                <w:sz w:val="24"/>
                <w:szCs w:val="24"/>
                <w:lang w:val="en-US" w:eastAsia="zh-CN" w:bidi="ar-SA"/>
              </w:rPr>
              <w:t>农业</w:t>
            </w:r>
          </w:p>
        </w:tc>
        <w:tc>
          <w:tcPr>
            <w:tcW w:w="1212"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napToGrid w:val="0"/>
                <w:color w:val="000000"/>
                <w:kern w:val="0"/>
                <w:sz w:val="24"/>
                <w:szCs w:val="24"/>
                <w:lang w:val="en-US" w:eastAsia="zh-CN" w:bidi="ar-SA"/>
              </w:rPr>
              <w:t>江山市蓝丰种禽有限公司</w:t>
            </w:r>
          </w:p>
        </w:tc>
        <w:tc>
          <w:tcPr>
            <w:tcW w:w="9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snapToGrid w:val="0"/>
                <w:color w:val="000000"/>
                <w:kern w:val="0"/>
                <w:sz w:val="24"/>
                <w:szCs w:val="24"/>
                <w:lang w:val="en-US" w:eastAsia="zh-CN" w:bidi="ar-SA"/>
              </w:rPr>
              <w:t>1.江山乌骨鸡千年流传必有其因，希望用科学方法来说明/支撑其营养保健价值构成、并深度挖掘形成产品故事、提升价值。</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2.根据种禽场区位及种鸡品质特征，因地制宜地制定《生物安全管理手册》，有效控制疫病，建设种禽疫病净化场。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w:t>
            </w:r>
          </w:p>
        </w:tc>
        <w:tc>
          <w:tcPr>
            <w:tcW w:w="1915"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napToGrid w:val="0"/>
                <w:color w:val="000000"/>
                <w:kern w:val="0"/>
                <w:sz w:val="24"/>
                <w:szCs w:val="24"/>
                <w:lang w:val="en-US" w:eastAsia="zh-CN" w:bidi="ar-SA"/>
              </w:rPr>
              <w:t>茶业生产培育技术研发</w:t>
            </w:r>
          </w:p>
        </w:tc>
        <w:tc>
          <w:tcPr>
            <w:tcW w:w="1091"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napToGrid w:val="0"/>
                <w:color w:val="000000"/>
                <w:kern w:val="0"/>
                <w:sz w:val="24"/>
                <w:szCs w:val="24"/>
                <w:lang w:val="en-US" w:eastAsia="zh-CN" w:bidi="ar-SA"/>
              </w:rPr>
              <w:t>农业</w:t>
            </w:r>
          </w:p>
        </w:tc>
        <w:tc>
          <w:tcPr>
            <w:tcW w:w="1212"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napToGrid w:val="0"/>
                <w:color w:val="000000"/>
                <w:kern w:val="0"/>
                <w:sz w:val="24"/>
                <w:szCs w:val="24"/>
                <w:lang w:val="en-US" w:eastAsia="zh-CN" w:bidi="ar-SA"/>
              </w:rPr>
              <w:t>浙江萌芽茶业有限公司</w:t>
            </w:r>
          </w:p>
        </w:tc>
        <w:tc>
          <w:tcPr>
            <w:tcW w:w="9912" w:type="dxa"/>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snapToGrid w:val="0"/>
                <w:color w:val="000000"/>
                <w:kern w:val="0"/>
                <w:sz w:val="24"/>
                <w:szCs w:val="24"/>
                <w:lang w:val="en-US" w:eastAsia="zh-CN" w:bidi="ar-SA"/>
              </w:rPr>
              <w:t>1.开展不同比例茶叶枝条代替杂木屑栽培黑木耳试验；</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2.开展发菌、出耳、采收管理期间的温度、湿度、空气的因素技术试验。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w:t>
            </w:r>
          </w:p>
        </w:tc>
        <w:tc>
          <w:tcPr>
            <w:tcW w:w="1915"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napToGrid w:val="0"/>
                <w:color w:val="000000"/>
                <w:kern w:val="0"/>
                <w:sz w:val="24"/>
                <w:szCs w:val="24"/>
                <w:lang w:val="en-US" w:eastAsia="zh-CN" w:bidi="ar-SA"/>
              </w:rPr>
              <w:t>开化清水鱼标准化养殖及产品开发</w:t>
            </w:r>
          </w:p>
        </w:tc>
        <w:tc>
          <w:tcPr>
            <w:tcW w:w="1091"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napToGrid w:val="0"/>
                <w:color w:val="000000"/>
                <w:kern w:val="0"/>
                <w:sz w:val="24"/>
                <w:szCs w:val="24"/>
                <w:lang w:val="en-US" w:eastAsia="zh-CN" w:bidi="ar-SA"/>
              </w:rPr>
              <w:t>农业</w:t>
            </w:r>
          </w:p>
        </w:tc>
        <w:tc>
          <w:tcPr>
            <w:tcW w:w="121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snapToGrid w:val="0"/>
                <w:color w:val="000000"/>
                <w:kern w:val="0"/>
                <w:sz w:val="24"/>
                <w:szCs w:val="24"/>
                <w:lang w:val="en-US" w:eastAsia="zh-CN" w:bidi="ar-SA"/>
              </w:rPr>
              <w:t>浙江开化十一都清水鱼有限公司</w:t>
            </w:r>
          </w:p>
        </w:tc>
        <w:tc>
          <w:tcPr>
            <w:tcW w:w="9912" w:type="dxa"/>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snapToGrid w:val="0"/>
                <w:color w:val="000000"/>
                <w:kern w:val="0"/>
                <w:sz w:val="24"/>
                <w:szCs w:val="24"/>
                <w:lang w:val="en-US" w:eastAsia="zh-CN" w:bidi="ar-SA"/>
              </w:rPr>
              <w:t>①优先完成“饲料安全性评价”；②追踪中草药活性成分在鱼体的富集与代谢规律；③做好病虫害防控技术。明确苦参碱、绿原酸等对小瓜虫的抑制机制（抑虫率≥80%，形成“饲料+水质改良剂”双防控技术。④与科研院所及相关医院合作开发“临床级药膳配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w:t>
            </w:r>
          </w:p>
        </w:tc>
        <w:tc>
          <w:tcPr>
            <w:tcW w:w="1915"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衢橘产品多用途开发</w:t>
            </w:r>
          </w:p>
        </w:tc>
        <w:tc>
          <w:tcPr>
            <w:tcW w:w="1091"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农业</w:t>
            </w:r>
          </w:p>
        </w:tc>
        <w:tc>
          <w:tcPr>
            <w:tcW w:w="1212"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浙江早椿农业开发有限公司</w:t>
            </w:r>
          </w:p>
        </w:tc>
        <w:tc>
          <w:tcPr>
            <w:tcW w:w="9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1.衢橘（朱橘）皮的保鲜技术</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2.衢橘皮调味品</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3.衢橘果肉的技术和多品种产业链研发</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4.衢陈皮的加工技术和陈化技术提升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w:t>
            </w:r>
          </w:p>
        </w:tc>
        <w:tc>
          <w:tcPr>
            <w:tcW w:w="1915"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中药已上市品种二次开发及中药及传统中药的创新研究</w:t>
            </w:r>
          </w:p>
        </w:tc>
        <w:tc>
          <w:tcPr>
            <w:tcW w:w="1091"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生命</w:t>
            </w:r>
          </w:p>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健康</w:t>
            </w:r>
          </w:p>
        </w:tc>
        <w:tc>
          <w:tcPr>
            <w:tcW w:w="1212"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浙江泰康药业集团有限公司</w:t>
            </w:r>
          </w:p>
        </w:tc>
        <w:tc>
          <w:tcPr>
            <w:tcW w:w="9912" w:type="dxa"/>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红茴香等中药注射剂的物质基础研究及临床安全性再评价。</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传统中药再开发，口感的优化。（如肠炎宁咀嚼片无糖性的开发使其具有更广的适用人群，及符合现代大健康理念）。</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中药老品种增加适用症和适用范围，换发中药老品种的新生。（金银花合剂功能主治为：清热解毒，用于小儿痱毒，暑热口渴。其原料金银花。其原料金银花功效为：清热解毒，疏散风热。用于痈肿疔疮，喉痹，丹毒，热毒血痢，风热感冒，温病发热等，可适当合理的增加应用范围，可使中药老品种换发新的生，促进中药医药的发展）</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传统中药新剂型的开发，使其更适用于现代快节奏的生活。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w:t>
            </w:r>
          </w:p>
        </w:tc>
        <w:tc>
          <w:tcPr>
            <w:tcW w:w="1915"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三叶青大健康产业研发</w:t>
            </w:r>
          </w:p>
        </w:tc>
        <w:tc>
          <w:tcPr>
            <w:tcW w:w="1091"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生命</w:t>
            </w:r>
          </w:p>
          <w:p>
            <w:pPr>
              <w:jc w:val="center"/>
              <w:rPr>
                <w:rFonts w:hint="eastAsia" w:ascii="仿宋_GB2312" w:hAnsi="仿宋_GB2312" w:eastAsia="仿宋_GB2312" w:cs="仿宋_GB2312"/>
                <w:snapToGrid w:val="0"/>
                <w:color w:val="000000"/>
                <w:kern w:val="0"/>
                <w:sz w:val="24"/>
                <w:szCs w:val="24"/>
                <w:lang w:val="en-US" w:eastAsia="zh-CN" w:bidi="ar-SA"/>
              </w:rPr>
            </w:pPr>
            <w:bookmarkStart w:id="0" w:name="_GoBack"/>
            <w:bookmarkEnd w:id="0"/>
            <w:r>
              <w:rPr>
                <w:rFonts w:hint="eastAsia" w:ascii="仿宋_GB2312" w:hAnsi="仿宋_GB2312" w:eastAsia="仿宋_GB2312" w:cs="仿宋_GB2312"/>
                <w:snapToGrid w:val="0"/>
                <w:color w:val="000000"/>
                <w:kern w:val="0"/>
                <w:sz w:val="24"/>
                <w:szCs w:val="24"/>
                <w:lang w:val="en-US" w:eastAsia="zh-CN" w:bidi="ar-SA"/>
              </w:rPr>
              <w:t>健康</w:t>
            </w:r>
          </w:p>
        </w:tc>
        <w:tc>
          <w:tcPr>
            <w:tcW w:w="1212"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浙江广胜集团有限公司</w:t>
            </w:r>
          </w:p>
        </w:tc>
        <w:tc>
          <w:tcPr>
            <w:tcW w:w="99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1.三叶青品种优化和认定</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2.三叶青产品地理标志登记</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3.新食品原料目录（新资源食品）</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4.三叶青饲料方面研究（部分已完成）</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5.三叶青保健品新原料及产品研究</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6.三叶青进入中国药典</w:t>
            </w:r>
            <w:r>
              <w:rPr>
                <w:rFonts w:hint="eastAsia" w:ascii="仿宋_GB2312" w:hAnsi="仿宋_GB2312" w:eastAsia="仿宋_GB2312" w:cs="仿宋_GB2312"/>
                <w:snapToGrid w:val="0"/>
                <w:color w:val="000000"/>
                <w:kern w:val="0"/>
                <w:sz w:val="24"/>
                <w:szCs w:val="24"/>
                <w:lang w:val="en-US" w:eastAsia="zh-CN" w:bidi="ar-SA"/>
              </w:rPr>
              <w:br w:type="textWrapping"/>
            </w:r>
            <w:r>
              <w:rPr>
                <w:rFonts w:hint="eastAsia" w:ascii="仿宋_GB2312" w:hAnsi="仿宋_GB2312" w:eastAsia="仿宋_GB2312" w:cs="仿宋_GB2312"/>
                <w:snapToGrid w:val="0"/>
                <w:color w:val="000000"/>
                <w:kern w:val="0"/>
                <w:sz w:val="24"/>
                <w:szCs w:val="24"/>
                <w:lang w:val="en-US" w:eastAsia="zh-CN" w:bidi="ar-SA"/>
              </w:rPr>
              <w:t>7.三叶青新化妆品原料研究</w:t>
            </w:r>
          </w:p>
        </w:tc>
      </w:tr>
    </w:tbl>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br w:type="page"/>
      </w:r>
    </w:p>
    <w:tbl>
      <w:tblPr>
        <w:tblStyle w:val="8"/>
        <w:tblW w:w="14880"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915"/>
        <w:gridCol w:w="1091"/>
        <w:gridCol w:w="1212"/>
        <w:gridCol w:w="9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50" w:type="dxa"/>
            <w:vAlign w:val="center"/>
          </w:tcPr>
          <w:p>
            <w:pPr>
              <w:rPr>
                <w:rFonts w:hint="eastAsia" w:ascii="黑体" w:hAnsi="黑体" w:eastAsia="黑体" w:cs="黑体"/>
                <w:sz w:val="24"/>
                <w:szCs w:val="24"/>
                <w:vertAlign w:val="baseline"/>
              </w:rPr>
            </w:pPr>
            <w:r>
              <w:rPr>
                <w:rFonts w:hint="eastAsia" w:ascii="仿宋_GB2312" w:hAnsi="仿宋_GB2312" w:eastAsia="仿宋_GB2312" w:cs="仿宋_GB2312"/>
                <w:sz w:val="24"/>
                <w:szCs w:val="24"/>
                <w:vertAlign w:val="baseline"/>
              </w:rPr>
              <w:br w:type="page"/>
            </w:r>
            <w:r>
              <w:rPr>
                <w:rFonts w:hint="eastAsia" w:ascii="黑体" w:hAnsi="黑体" w:eastAsia="黑体" w:cs="黑体"/>
                <w:i w:val="0"/>
                <w:color w:val="000000"/>
                <w:spacing w:val="-20"/>
                <w:kern w:val="0"/>
                <w:sz w:val="24"/>
                <w:szCs w:val="24"/>
                <w:u w:val="none"/>
                <w:lang w:val="en-US" w:eastAsia="zh-CN" w:bidi="ar"/>
              </w:rPr>
              <w:t>序号</w:t>
            </w:r>
          </w:p>
        </w:tc>
        <w:tc>
          <w:tcPr>
            <w:tcW w:w="1915"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产业发展需求</w:t>
            </w:r>
          </w:p>
        </w:tc>
        <w:tc>
          <w:tcPr>
            <w:tcW w:w="1091"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spacing w:val="-20"/>
                <w:kern w:val="0"/>
                <w:sz w:val="24"/>
                <w:szCs w:val="24"/>
                <w:u w:val="none"/>
                <w:lang w:val="en-US" w:eastAsia="zh-CN" w:bidi="ar"/>
              </w:rPr>
              <w:t>所属领域</w:t>
            </w:r>
          </w:p>
        </w:tc>
        <w:tc>
          <w:tcPr>
            <w:tcW w:w="12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对接对象</w:t>
            </w:r>
          </w:p>
        </w:tc>
        <w:tc>
          <w:tcPr>
            <w:tcW w:w="9912" w:type="dxa"/>
            <w:vAlign w:val="center"/>
          </w:tcPr>
          <w:p>
            <w:pPr>
              <w:keepNext w:val="0"/>
              <w:keepLines w:val="0"/>
              <w:widowControl/>
              <w:suppressLineNumbers w:val="0"/>
              <w:jc w:val="center"/>
              <w:textAlignment w:val="center"/>
              <w:rPr>
                <w:rFonts w:hint="eastAsia" w:ascii="黑体" w:hAnsi="黑体" w:eastAsia="黑体" w:cs="黑体"/>
                <w:sz w:val="24"/>
                <w:szCs w:val="24"/>
                <w:vertAlign w:val="baseline"/>
              </w:rPr>
            </w:pPr>
            <w:r>
              <w:rPr>
                <w:rFonts w:hint="eastAsia" w:ascii="黑体" w:hAnsi="黑体" w:eastAsia="黑体" w:cs="黑体"/>
                <w:i w:val="0"/>
                <w:color w:val="000000"/>
                <w:kern w:val="0"/>
                <w:sz w:val="24"/>
                <w:szCs w:val="24"/>
                <w:u w:val="none"/>
                <w:lang w:val="en-US" w:eastAsia="zh-CN" w:bidi="ar"/>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1915"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超薄型微小电子元器件用载带纸关键技术研发</w:t>
            </w:r>
          </w:p>
        </w:tc>
        <w:tc>
          <w:tcPr>
            <w:tcW w:w="1091" w:type="dxa"/>
            <w:vAlign w:val="center"/>
          </w:tcPr>
          <w:p>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特种纸</w:t>
            </w:r>
          </w:p>
        </w:tc>
        <w:tc>
          <w:tcPr>
            <w:tcW w:w="1212" w:type="dxa"/>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浙江金昌特种纸股份有限公司</w:t>
            </w:r>
          </w:p>
        </w:tc>
        <w:tc>
          <w:tcPr>
            <w:tcW w:w="9912" w:type="dxa"/>
            <w:vAlign w:val="top"/>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芯片微型化是当前电子产品发展趋势，而相应地电子元器件的尺寸也越来越小，对于高度集成化的1505和0603型电子元件生产所需的0.33mm和0.25mm超薄型纸质载带的需求也逐渐紧迫，但目前国内还无法提供批量产品供应，因此突破0.33mm甚至0.25mm超薄型高端纸质载带材料制备技术一直是国内造纸行业不断追求的目标。研发厚度0.42mm以下的超薄型的电子元器件装载纸，达到国际先进水平，实现国产化替代，打破国外垄断。重点希望通过攻关突破施胶技术、抗静电工艺技术、提高表面细腻度等关键技术，有效地解决微小电子元器件装载纸基材料表面细腻、防水、抗静电的问题。</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与进口产品相比，国产载带纸的性能劣势和技术壁垒主要体现在三个方面首先，载带材料的机械强度与其弹性和柔性相互制约，提高机械强度，材料的弹性和柔性则降低，反之，保证了高的弹性和柔性，机械强度又下降，无法实现强度与柔弹性的共同提升;尤其对于超薄型纸基材料而言，提高强度的同时还要保证缓冲性能及尺寸稳定性，技术难度显然更大;其次，国产载带在上封带剥离以及冲孔时掉毛现象较严重，粉尘产生量大，污染电子元器件，甚至影响 SMT 贴片机对元器件的精准抓取，导致贴装差品率?高;同时当环境湿度变化较大时，材料对水蒸气阻隔性差，吸湿变形明显，导致生产故障。而进口产品表面强度和疏水防潮性能优势明显，很少出现掉毛和吸湿变形现象;最后，国产纸基载带在生产使用中的抗静电性能不及进口产品影响贴装设备对电子元器件的定位识别和准确贴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w:t>
            </w:r>
          </w:p>
        </w:tc>
        <w:tc>
          <w:tcPr>
            <w:tcW w:w="1915"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人工智能用于在线产品质量监测检测</w:t>
            </w:r>
          </w:p>
        </w:tc>
        <w:tc>
          <w:tcPr>
            <w:tcW w:w="1091"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特种纸</w:t>
            </w:r>
          </w:p>
        </w:tc>
        <w:tc>
          <w:tcPr>
            <w:tcW w:w="1212"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浙江一树纸业集团有限公司</w:t>
            </w:r>
          </w:p>
        </w:tc>
        <w:tc>
          <w:tcPr>
            <w:tcW w:w="991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引用相关的人工智能，用于造纸生产线在线产品质量检测场景，需要人工智能专家专业的指导。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w:t>
            </w:r>
          </w:p>
        </w:tc>
        <w:tc>
          <w:tcPr>
            <w:tcW w:w="191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北航、海易、鹿鸣未来社区、未来大厦、创新大厦、阳光城等政策性服务业平台，以及258园区、共富大厦、衢商大厦招引落地现代服务业项目</w:t>
            </w:r>
          </w:p>
        </w:tc>
        <w:tc>
          <w:tcPr>
            <w:tcW w:w="1091"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服务业</w:t>
            </w:r>
          </w:p>
        </w:tc>
        <w:tc>
          <w:tcPr>
            <w:tcW w:w="1212" w:type="dxa"/>
            <w:vAlign w:val="center"/>
          </w:tcPr>
          <w:p>
            <w:pPr>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有意落地在智慧新城、高铁新城各园区内的企业</w:t>
            </w:r>
          </w:p>
        </w:tc>
        <w:tc>
          <w:tcPr>
            <w:tcW w:w="9912" w:type="dxa"/>
            <w:vAlign w:val="center"/>
          </w:tcPr>
          <w:p>
            <w:pPr>
              <w:keepNext w:val="0"/>
              <w:keepLines w:val="0"/>
              <w:widowControl/>
              <w:suppressLineNumbers w:val="0"/>
              <w:jc w:val="left"/>
              <w:textAlignment w:val="center"/>
              <w:rPr>
                <w:rFonts w:hint="eastAsia" w:ascii="仿宋_GB2312" w:hAnsi="仿宋_GB2312" w:eastAsia="仿宋_GB2312" w:cs="仿宋_GB2312"/>
                <w:snapToGrid w:val="0"/>
                <w:color w:val="000000"/>
                <w:kern w:val="0"/>
                <w:sz w:val="24"/>
                <w:szCs w:val="24"/>
                <w:lang w:val="en-US" w:eastAsia="zh-CN" w:bidi="ar-SA"/>
              </w:rPr>
            </w:pPr>
            <w:r>
              <w:rPr>
                <w:rFonts w:hint="default" w:ascii="仿宋_GB2312" w:hAnsi="仿宋_GB2312" w:eastAsia="仿宋_GB2312" w:cs="仿宋_GB2312"/>
                <w:snapToGrid w:val="0"/>
                <w:color w:val="000000"/>
                <w:kern w:val="0"/>
                <w:sz w:val="24"/>
                <w:szCs w:val="24"/>
                <w:lang w:val="en-US" w:eastAsia="zh-CN" w:bidi="ar-SA"/>
              </w:rPr>
              <w:t>聚焦</w:t>
            </w:r>
            <w:r>
              <w:rPr>
                <w:rFonts w:hint="eastAsia" w:ascii="仿宋_GB2312" w:hAnsi="仿宋_GB2312" w:eastAsia="仿宋_GB2312" w:cs="仿宋_GB2312"/>
                <w:snapToGrid w:val="0"/>
                <w:color w:val="000000"/>
                <w:kern w:val="0"/>
                <w:sz w:val="24"/>
                <w:szCs w:val="24"/>
                <w:lang w:val="en-US" w:eastAsia="zh-CN" w:bidi="ar-SA"/>
              </w:rPr>
              <w:t>总部经济、生产性服务业（快所、律所、检验检测中心、智能客服、实训培训）、</w:t>
            </w:r>
            <w:r>
              <w:rPr>
                <w:rFonts w:hint="default" w:ascii="仿宋_GB2312" w:hAnsi="仿宋_GB2312" w:eastAsia="仿宋_GB2312" w:cs="仿宋_GB2312"/>
                <w:snapToGrid w:val="0"/>
                <w:color w:val="000000"/>
                <w:kern w:val="0"/>
                <w:sz w:val="24"/>
                <w:szCs w:val="24"/>
                <w:lang w:val="en-US" w:eastAsia="zh-CN" w:bidi="ar-SA"/>
              </w:rPr>
              <w:t>数字经济服务业、数据标注项目、</w:t>
            </w:r>
            <w:r>
              <w:rPr>
                <w:rFonts w:hint="eastAsia" w:ascii="仿宋_GB2312" w:hAnsi="仿宋_GB2312" w:eastAsia="仿宋_GB2312" w:cs="仿宋_GB2312"/>
                <w:snapToGrid w:val="0"/>
                <w:color w:val="000000"/>
                <w:kern w:val="0"/>
                <w:sz w:val="24"/>
                <w:szCs w:val="24"/>
                <w:lang w:val="en-US" w:eastAsia="zh-CN" w:bidi="ar-SA"/>
              </w:rPr>
              <w:t>跨境电商、</w:t>
            </w:r>
            <w:r>
              <w:rPr>
                <w:rFonts w:hint="default" w:ascii="仿宋_GB2312" w:hAnsi="仿宋_GB2312" w:eastAsia="仿宋_GB2312" w:cs="仿宋_GB2312"/>
                <w:snapToGrid w:val="0"/>
                <w:color w:val="000000"/>
                <w:kern w:val="0"/>
                <w:sz w:val="24"/>
                <w:szCs w:val="24"/>
                <w:lang w:val="en-US" w:eastAsia="zh-CN" w:bidi="ar-SA"/>
              </w:rPr>
              <w:t>营收亿元以上规上服务业项目。</w:t>
            </w:r>
          </w:p>
        </w:tc>
      </w:tr>
    </w:tbl>
    <w:p>
      <w:pPr>
        <w:rPr>
          <w:rFonts w:hint="eastAsia"/>
        </w:rPr>
      </w:pPr>
    </w:p>
    <w:sectPr>
      <w:footerReference r:id="rId3"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6A16C7"/>
    <w:rsid w:val="627645AC"/>
    <w:rsid w:val="753176C3"/>
    <w:rsid w:val="77C11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Normal Indent"/>
    <w:basedOn w:val="1"/>
    <w:qFormat/>
    <w:uiPriority w:val="0"/>
    <w:pPr>
      <w:ind w:firstLine="420" w:firstLineChars="200"/>
    </w:pPr>
    <w:rPr>
      <w:rFonts w:eastAsia="仿宋"/>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Normal Indent1"/>
    <w:qFormat/>
    <w:uiPriority w:val="0"/>
    <w:pPr>
      <w:widowControl w:val="0"/>
      <w:ind w:firstLine="420" w:firstLineChars="200"/>
      <w:jc w:val="both"/>
    </w:pPr>
    <w:rPr>
      <w:rFonts w:ascii="Calibri" w:hAnsi="Calibri" w:eastAsia="宋体" w:cs="Times New Roman"/>
      <w:kern w:val="2"/>
      <w:sz w:val="21"/>
      <w:lang w:val="en-US" w:eastAsia="zh-CN" w:bidi="ar-SA"/>
    </w:rPr>
  </w:style>
  <w:style w:type="character" w:customStyle="1" w:styleId="11">
    <w:name w:val="font71"/>
    <w:basedOn w:val="9"/>
    <w:qFormat/>
    <w:uiPriority w:val="0"/>
    <w:rPr>
      <w:rFonts w:ascii="Calibri" w:hAnsi="Calibri" w:cs="Calibri"/>
      <w:color w:val="000000"/>
      <w:sz w:val="24"/>
      <w:szCs w:val="24"/>
      <w:u w:val="none"/>
    </w:rPr>
  </w:style>
  <w:style w:type="character" w:customStyle="1" w:styleId="12">
    <w:name w:val="font01"/>
    <w:basedOn w:val="9"/>
    <w:qFormat/>
    <w:uiPriority w:val="0"/>
    <w:rPr>
      <w:rFonts w:hint="eastAsia" w:ascii="宋体" w:hAnsi="宋体" w:eastAsia="宋体" w:cs="宋体"/>
      <w:color w:val="000000"/>
      <w:sz w:val="24"/>
      <w:szCs w:val="24"/>
      <w:u w:val="none"/>
    </w:rPr>
  </w:style>
  <w:style w:type="character" w:customStyle="1" w:styleId="13">
    <w:name w:val="font81"/>
    <w:basedOn w:val="9"/>
    <w:qFormat/>
    <w:uiPriority w:val="0"/>
    <w:rPr>
      <w:rFonts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Candice&amp;Miss 李</cp:lastModifiedBy>
  <cp:lastPrinted>2025-09-08T00:37:00Z</cp:lastPrinted>
  <dcterms:modified xsi:type="dcterms:W3CDTF">2025-09-08T08:15:18Z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